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600"/>
        <w:jc w:val="left"/>
      </w:pPr>
      <w:r>
        <w:rPr>
          <w:rFonts w:ascii="Manrope" w:cs="Manrope" w:eastAsia="Manrope" w:hAnsi="Manrope"/>
          <w:b/>
          <w:bCs/>
          <w:color w:val="2E7D57"/>
          <w:sz w:val="20"/>
          <w:szCs w:val="20"/>
        </w:rPr>
        <w:t xml:space="preserve">DREHBUCH</w:t>
      </w:r>
    </w:p>
    <w:p>
      <w:pPr>
        <w:spacing w:after="200"/>
      </w:pPr>
      <w:r>
        <w:rPr>
          <w:rFonts w:ascii="Manrope" w:cs="Manrope" w:eastAsia="Manrope" w:hAnsi="Manrope"/>
          <w:b/>
          <w:bCs/>
          <w:color w:val="1A1A1A"/>
          <w:sz w:val="40"/>
          <w:szCs w:val="40"/>
        </w:rPr>
        <w:t xml:space="preserve">Der erste richtig gute Prompt — die RACE-Formel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56"/>
        <w:gridCol w:w="2256"/>
        <w:gridCol w:w="2256"/>
        <w:gridCol w:w="2258"/>
      </w:tblGrid>
      <w:tr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Pfad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Pfad 1 — Entdecken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Loop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Loop 3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Dauer Video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ca. 25 Min.</w:t>
            </w:r>
          </w:p>
        </w:tc>
        <w:tc>
          <w:tcPr>
            <w:tcW w:type="dxa" w:w="225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Tahoma" w:cs="Tahoma" w:eastAsia="Tahoma" w:hAnsi="Tahoma"/>
                <w:b/>
                <w:bCs/>
                <w:color w:val="888888"/>
                <w:sz w:val="18"/>
                <w:szCs w:val="18"/>
              </w:rPr>
              <w:t xml:space="preserve">Stand</w:t>
            </w:r>
          </w:p>
          <w:p>
            <w:r>
              <w:rPr>
                <w:rFonts w:ascii="Tahoma" w:cs="Tahoma" w:eastAsia="Tahoma" w:hAnsi="Tahoma"/>
                <w:b/>
                <w:bCs/>
                <w:sz w:val="20"/>
                <w:szCs w:val="20"/>
              </w:rPr>
              <w:t xml:space="preserve">Mai 2026</w:t>
            </w:r>
          </w:p>
        </w:tc>
      </w:tr>
    </w:tbl>
    <w:p>
      <w:pPr>
        <w:spacing w:after="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none"/>
              <w:left w:val="single" w:color="2E7D57" w:sz="6"/>
              <w:bottom w:val="none"/>
              <w:right w:val="none"/>
            </w:tcBorders>
            <w:shd w:fill="F5F5F5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KERNBOTSCHAFT</w:t>
            </w:r>
          </w:p>
          <w:p>
            <w:r>
              <w:rPr>
                <w:rFonts w:ascii="Tahoma" w:cs="Tahoma" w:eastAsia="Tahoma" w:hAnsi="Tahoma"/>
                <w:i/>
                <w:iCs/>
                <w:sz w:val="22"/>
                <w:szCs w:val="22"/>
              </w:rPr>
              <w:t xml:space="preserve">Ein guter Prompt ist kein Glückstreffer, sondern ein Bauplan. Die RACE-Formel gibt dir vier Bausteine: Rolle, Aufgabe, Context, Expected Format.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Kapitelstruktur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00:00–00:30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Hook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'Ich bekomme nie das, was ich will.' Typische Klage — und ihre typische Ursache: Der Prompt war nicht präzise genug.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00:30–05:30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1 — Die RACE-Formel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R(olle), A(ufgabe), C(ontext), E(xpected Format). An einem durchgezogenen Beispiel (Sitzungsprotokoll zusammenfassen) Schritt für Schritt aufgebaut. Jeder Buchstabe wird einzeln eingeführt und gezeigt, was er am Ergebnis verändert.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05:30–15:30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2 — Fünf Before/After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Fünf realistische Verwaltungsaufgaben. Erst der schlechte Prompt ('Schreib mir eine E-Mail'), dann der RACE-Prompt. Beide Ergebnisse sichtbar nebeneinander. Aufgaben: E-Mail an Bürger:in, Medienmitteilung, Stellungnahme, Tagesordnung, Bericht-Zusammenfassung.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15:30–19:30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3 — Die drei häufigsten Fehler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Zu kurz (kein Kontext), zu unklar (kein Format), zu unspezifisch (keine Rolle). An echten Beispielen aus dem Verwaltungsalltag.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19:30–22:30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Kap. 4 — Deine Prompt-Bibliothek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Warum gute Prompts speichern? Vorstellung des Excel-Templates. Live-Demo: einen RACE-Prompt ins Template eintragen. Tipp: 'Arbeitsmodi nutzen — ordne jeden Prompt einem Modus zu (Durchdringen/Erledigen/Weiterdenken).'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E0E0E0" w:sz="1"/>
              <w:left w:val="none"/>
              <w:bottom w:val="none"/>
              <w:right w:val="none"/>
            </w:tcBorders>
            <w:tcMar>
              <w:top w:type="dxa" w:w="100"/>
              <w:left w:type="dxa" w:w="0"/>
              <w:bottom w:type="dxa" w:w="100"/>
              <w:right w:type="dxa" w:w="0"/>
            </w:tcMar>
          </w:tcPr>
          <w:p>
            <w:pPr>
              <w:spacing w:after="60"/>
            </w:pPr>
            <w:r>
              <w:rPr>
                <w:rFonts w:ascii="Manrope" w:cs="Manrope" w:eastAsia="Manrope" w:hAnsi="Manrope"/>
                <w:b/>
                <w:bCs/>
                <w:color w:val="2E7D57"/>
                <w:sz w:val="18"/>
                <w:szCs w:val="18"/>
              </w:rPr>
              <w:t xml:space="preserve">22:30–24:00  </w:t>
            </w:r>
            <w:r>
              <w:rPr>
                <w:rFonts w:ascii="Tahoma" w:cs="Tahoma" w:eastAsia="Tahoma" w:hAnsi="Tahoma"/>
                <w:b/>
                <w:bCs/>
                <w:sz w:val="22"/>
                <w:szCs w:val="22"/>
              </w:rPr>
              <w:t xml:space="preserve">Call-to-Action</w:t>
            </w:r>
          </w:p>
          <w:p>
            <w:pPr>
              <w:spacing w:after="40"/>
            </w:pPr>
            <w:r>
              <w:rPr>
                <w:rFonts w:ascii="Tahoma" w:cs="Tahoma" w:eastAsia="Tahoma" w:hAnsi="Tahoma"/>
                <w:color w:val="333333"/>
                <w:sz w:val="21"/>
                <w:szCs w:val="21"/>
              </w:rPr>
              <w:t xml:space="preserve">Drei eigene RACE-Prompts schreiben und im Template speichern. Teaser: Im nächsten Loop lernst du, wie du KI-Ergebnisse systematisch prüfst.</w:t>
            </w:r>
          </w:p>
        </w:tc>
      </w:tr>
    </w:tbl>
    <w:p>
      <w:pPr>
        <w:spacing w:after="40"/>
      </w:pP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Tonalität &amp; Stil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Handwerklich-praktisch. Die Moderatorin baut Prompts vor der Kamera wie eine Handwerkerin — Schritt für Schritt, transparent, nachvollziehbar.</w:t>
      </w:r>
    </w:p>
    <w:p>
      <w:pPr>
        <w:pStyle w:val="Heading2"/>
        <w:spacing w:after="120" w:before="300"/>
      </w:pPr>
      <w:r>
        <w:rPr>
          <w:rFonts w:ascii="Tahoma" w:cs="Tahoma" w:eastAsia="Tahoma" w:hAnsi="Tahoma"/>
          <w:b/>
          <w:bCs/>
          <w:color w:val="2C3E50"/>
          <w:sz w:val="26"/>
          <w:szCs w:val="26"/>
        </w:rPr>
        <w:t xml:space="preserve">Visualisierung &amp; Produktion</w:t>
      </w:r>
    </w:p>
    <w:p>
      <w:pPr>
        <w:spacing w:after="100"/>
      </w:pPr>
      <w:r>
        <w:rPr>
          <w:rFonts w:ascii="Tahoma" w:cs="Tahoma" w:eastAsia="Tahoma" w:hAnsi="Tahoma"/>
          <w:sz w:val="21"/>
          <w:szCs w:val="21"/>
        </w:rPr>
        <w:t xml:space="preserve">RACE-Formel als 4-Felder-Grafik. Before/After-Splits als Bildschirmaufnahmen. Excel-Template live gezeigt.</w:t>
      </w:r>
    </w:p>
    <w:p>
      <w:pPr>
        <w:spacing w:after="40"/>
      </w:pPr>
    </w:p>
    <w:p>
      <w:pPr>
        <w:spacing w:before="300"/>
      </w:pPr>
      <w:r>
        <w:rPr>
          <w:rFonts w:ascii="Tahoma" w:cs="Tahoma" w:eastAsia="Tahoma" w:hAnsi="Tahoma"/>
          <w:color w:val="AAAAAA"/>
          <w:sz w:val="18"/>
          <w:szCs w:val="18"/>
        </w:rPr>
        <w:t xml:space="preserve">Pfyffer Partner AG · KI-Befähigung Stadt Uster · Mai 2026 · Entwurf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cs="Tahoma" w:eastAsia="Tahoma" w:hAnsi="Tahoma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Manrope" w:cs="Manrope" w:eastAsia="Manrope" w:hAnsi="Manrope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Manrope" w:cs="Manrope" w:eastAsia="Manrope" w:hAnsi="Manrope"/>
      <w:b/>
      <w:bCs/>
      <w:color w:val="2C3E50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Tahoma" w:cs="Tahoma" w:eastAsia="Tahoma" w:hAnsi="Tahoma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2026-05-06T06:56:59.584Z</dcterms:created>
  <dcterms:modified xsi:type="dcterms:W3CDTF">2026-05-06T06:56:59.584Z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