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  <w:jc w:val="left"/>
      </w:pPr>
      <w:r>
        <w:rPr>
          <w:rFonts w:ascii="Manrope" w:cs="Manrope" w:eastAsia="Manrope" w:hAnsi="Manrope"/>
          <w:b/>
          <w:bCs/>
          <w:color w:val="2E7D57"/>
          <w:sz w:val="20"/>
          <w:szCs w:val="20"/>
        </w:rPr>
        <w:t xml:space="preserve">DREHBUCH</w:t>
      </w:r>
    </w:p>
    <w:p>
      <w:pPr>
        <w:spacing w:after="200"/>
      </w:pPr>
      <w:r>
        <w:rPr>
          <w:rFonts w:ascii="Manrope" w:cs="Manrope" w:eastAsia="Manrope" w:hAnsi="Manrope"/>
          <w:b/>
          <w:bCs/>
          <w:color w:val="1A1A1A"/>
          <w:sz w:val="40"/>
          <w:szCs w:val="40"/>
        </w:rPr>
        <w:t xml:space="preserve">KI einfach erklärt — Dein erster eigener Prompt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8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Pfad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Pfad 1 — Entdecken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Loop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Loop 1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Dauer Video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ca. 22 Min.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Stand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Mai 2026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/>
              <w:left w:val="single" w:color="2E7D57" w:sz="6"/>
              <w:bottom w:val="none"/>
              <w:right w:val="none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KERNBOTSCHAFT</w:t>
            </w:r>
          </w:p>
          <w:p>
            <w:r>
              <w:rPr>
                <w:rFonts w:ascii="Tahoma" w:cs="Tahoma" w:eastAsia="Tahoma" w:hAnsi="Tahoma"/>
                <w:i/>
                <w:iCs/>
                <w:sz w:val="22"/>
                <w:szCs w:val="22"/>
              </w:rPr>
              <w:t xml:space="preserve">Generative KI ist keine Zauberei und kein IT-Projekt. Sie ist ein Werkzeug, das auf Text reagiert. Wer schreiben kann, kann KI bedienen.</w:t>
            </w:r>
          </w:p>
        </w:tc>
      </w:tr>
    </w:tbl>
    <w:p>
      <w:pPr>
        <w:spacing w:after="40"/>
      </w:pP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Kapitelstruktur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00:00–00:30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Hook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Eine echte Verwaltungsangestellte sitzt vor einem 30-seitigen Bericht. 'Wer liest das jetzt komplett? Ich nicht.' Sie tippt einen Satz in Varios AI — und bekommt die fünf wichtigsten Punkte in 10 Sekunden. Schnitt auf Titel.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00:30–03:30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1 — Was ist generative KI wirklich?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Bildliche Erklärung: 'Wort-für-Wort-Vorhersage auf Basis von riesigen Textmengen'. Keine Formeln, keine Matrizen, keine Angst. Animation: ein Satz wird Wort für Wort vorhergesagt. Vergleich mit Autocomplete auf dem Handy — nur viel, viel mächtigere Version.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03:30–06:30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2 — Suchmaschine vs. KI-Assistent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Split-Screen: Links Google, rechts Varios AI. Gleiche Frage: 'Wie schreibe ich eine Einladung für einen Elternabend?' Google liefert 10 Links. KI liefert einen fertigen Text. Fazit: Suchmaschine = Wegweiser, KI = Ghostwriter. Beide haben Stärken.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06:30–11:30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3 — Live-Beispiel: Dein erster Prompt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Moderatorin schreibt live vor der Kamera: 'Fasse dieses Protokoll in 5 Bulletpoints zusammen. Nenne nur Beschlüsse.' Ergebnis wird gezeigt — inklusive eines kleinen Fehlers (falsche Datumsangabe). Moderatorin: 'Seht ihr? Das muss man immer prüfen. Aber die Struktur ist perfekt.'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11:30–14:30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4 — Drei Mythen entlarvt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Mythos 1: 'KI braucht Programmierkenntnisse' — Nein, du tippst Sätze. Mythos 2: 'KI liest alle deine Daten' — Nein, Varios AI ist abgeschirmt. Mythos 3: 'KI ist objektiv' — Nein, sie wurde von Menschen trainiert.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14:30–17:30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5 — Die 3 KI-Arbeitsmodi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NEU: Eigenes Orientierungsmodell der Stadt Uster. 'Bevor du einen Prompt schreibst, frag dich: Was will ich eigentlich?' Drei Modi mit je 2-3 Verwaltungsbeispielen:
1. DURCHDRINGEN — 'Ich habe zu viel und will den Kern.' (Bericht zusammenfassen, Protokoll nach Beschlüssen filtern, Gesetzestext vereinfachen)
2. ERLEDIGEN — 'Ich weiss was ich will und brauche eine Vorlage.' (E-Mail-Entwurf, Medienmitteilung, Stellungnahme strukturieren)
3. WEITERDENKEN — 'Ich stecke fest und brauche neue Perspektiven.' (Veranstaltungskonzept-Ideen, alternative Formulierungen, Pro/Contra sammeln)
Grafik: Drei farbige Kreise mit Icons. Moderatorin ordnet den ersten Prompt (Protokoll zusammenfassen) dem Modus 'Durchdringen' zu.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17:30–19:00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6 — Ausblick: Was kommt in Loop 2?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Kurzer Teaser: 'Du weisst jetzt, was KI kann. Im nächsten Loop lernst du, was sie nicht darf — und wo die Grenzen liegen. Die drei Zonen der Stadt Uster.'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19:00–20:00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Call-to-Action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Zusammenfassung der Kernbotschaft. 'Jetzt bist du dran: Öffne Varios AI und probiere einen eigenen Prompt. Egal ob Durchdringen, Erledigen oder Weiterdenken — Hauptsache, du tippst. Dein Praxistransfer wartet im Lernportal.'</w:t>
            </w:r>
          </w:p>
        </w:tc>
      </w:tr>
    </w:tbl>
    <w:p>
      <w:pPr>
        <w:spacing w:after="40"/>
      </w:pP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Tonalität &amp; Stil</w:t>
      </w:r>
    </w:p>
    <w:p>
      <w:pPr>
        <w:spacing w:after="100"/>
      </w:pPr>
      <w:r>
        <w:rPr>
          <w:rFonts w:ascii="Tahoma" w:cs="Tahoma" w:eastAsia="Tahoma" w:hAnsi="Tahoma"/>
          <w:sz w:val="21"/>
          <w:szCs w:val="21"/>
        </w:rPr>
        <w:t xml:space="preserve">Warm, ermutigend, ohne Tech-Jargon. Die Moderatorin spricht wie eine kompetente Kollegin, nicht wie eine IT-Trainerin. Tempo: ruhig, mit Pausen nach wichtigen Aussagen. Humor: subtil, nie auf Kosten der Zuschauer:innen.</w:t>
      </w: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Visualisierung &amp; Produktion</w:t>
      </w:r>
    </w:p>
    <w:p>
      <w:pPr>
        <w:spacing w:after="100"/>
      </w:pPr>
      <w:r>
        <w:rPr>
          <w:rFonts w:ascii="Tahoma" w:cs="Tahoma" w:eastAsia="Tahoma" w:hAnsi="Tahoma"/>
          <w:sz w:val="21"/>
          <w:szCs w:val="21"/>
        </w:rPr>
        <w:t xml:space="preserve">Bildschirmaufnahmen aus Varios AI (keine generischen Screenshots). Split-Screen für Vergleiche. Eingeblendete Grafiken für die 3 KI-Arbeitsmodi. Kernbotschaft als Texteinblendung bei 11:30.</w:t>
      </w:r>
    </w:p>
    <w:p>
      <w:pPr>
        <w:spacing w:after="40"/>
      </w:pPr>
    </w:p>
    <w:p>
      <w:pPr>
        <w:spacing w:before="300"/>
      </w:pPr>
      <w:r>
        <w:rPr>
          <w:rFonts w:ascii="Tahoma" w:cs="Tahoma" w:eastAsia="Tahoma" w:hAnsi="Tahoma"/>
          <w:color w:val="AAAAAA"/>
          <w:sz w:val="18"/>
          <w:szCs w:val="18"/>
        </w:rPr>
        <w:t xml:space="preserve">Pfyffer Partner AG · KI-Befähigung Stadt Uster · Mai 2026 · Entwurf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anrope" w:cs="Manrope" w:eastAsia="Manrope" w:hAnsi="Manrope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Manrope" w:cs="Manrope" w:eastAsia="Manrope" w:hAnsi="Manrope"/>
      <w:b/>
      <w:bCs/>
      <w:color w:val="2C3E5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Tahoma" w:cs="Tahoma" w:eastAsia="Tahoma" w:hAnsi="Tahoma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2026-05-06T06:56:59.517Z</dcterms:created>
  <dcterms:modified xsi:type="dcterms:W3CDTF">2026-05-06T06:56:59.517Z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